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956"/>
        <w:gridCol w:w="3714"/>
      </w:tblGrid>
      <w:tr w:rsidR="00705661" w:rsidRPr="00705661" w:rsidTr="00223FD1">
        <w:trPr>
          <w:cantSplit/>
          <w:trHeight w:val="1554"/>
        </w:trPr>
        <w:tc>
          <w:tcPr>
            <w:tcW w:w="4111" w:type="dxa"/>
          </w:tcPr>
          <w:p w:rsidR="00705661" w:rsidRPr="00705661" w:rsidRDefault="00705661" w:rsidP="00705661">
            <w:pPr>
              <w:jc w:val="center"/>
              <w:rPr>
                <w:rFonts w:eastAsia="Times New Roman"/>
                <w:bCs/>
              </w:rPr>
            </w:pPr>
            <w:r w:rsidRPr="00705661">
              <w:rPr>
                <w:rFonts w:eastAsia="Times New Roman"/>
                <w:bCs/>
              </w:rPr>
              <w:t xml:space="preserve">ИСПОЛНИТЕЛЬНЫЙ КОМИТЕТ </w:t>
            </w:r>
            <w:r w:rsidRPr="00705661">
              <w:rPr>
                <w:rFonts w:eastAsia="Times New Roman"/>
                <w:bCs/>
                <w:lang w:val="be-BY"/>
              </w:rPr>
              <w:t>СВИЯЖСКОГО СЕЛЬСКОГО ПОСЕЛЕНИЯ ЗЕЛЕНОДОЛЬСКОГО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</w:rPr>
            </w:pPr>
            <w:r w:rsidRPr="00705661">
              <w:rPr>
                <w:rFonts w:eastAsia="Times New Roman"/>
                <w:bCs/>
              </w:rPr>
              <w:t xml:space="preserve">МУНИЦИПАЛЬНОГО </w:t>
            </w:r>
            <w:r w:rsidRPr="00705661">
              <w:rPr>
                <w:rFonts w:eastAsia="Times New Roman"/>
                <w:bCs/>
                <w:lang w:val="be-BY"/>
              </w:rPr>
              <w:t>РАЙОН</w:t>
            </w:r>
            <w:r w:rsidRPr="00705661">
              <w:rPr>
                <w:rFonts w:eastAsia="Times New Roman"/>
                <w:bCs/>
              </w:rPr>
              <w:t>А</w:t>
            </w: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705661">
              <w:rPr>
                <w:rFonts w:eastAsia="Times New Roman"/>
                <w:b/>
              </w:rPr>
              <w:t>РЕСПУБЛИКИ ТАТАРСТАН</w:t>
            </w:r>
          </w:p>
        </w:tc>
        <w:tc>
          <w:tcPr>
            <w:tcW w:w="1956" w:type="dxa"/>
          </w:tcPr>
          <w:p w:rsidR="00705661" w:rsidRPr="00705661" w:rsidRDefault="00A60132" w:rsidP="0070566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Roman Eurasian" w:eastAsia="Times New Roman" w:hAnsi="Roman Eurasian"/>
                <w:b/>
                <w:bCs/>
                <w:lang w:val="tt-RU"/>
              </w:rPr>
            </w:pPr>
            <w:r>
              <w:rPr>
                <w:rFonts w:ascii="Roman Eurasian" w:eastAsia="Times New Roman" w:hAnsi="Roman Eurasian"/>
                <w:b/>
                <w:noProof/>
              </w:rPr>
              <w:drawing>
                <wp:inline distT="0" distB="0" distL="0" distR="0" wp14:anchorId="3D93B22A" wp14:editId="6626D4F0">
                  <wp:extent cx="1000125" cy="1219200"/>
                  <wp:effectExtent l="0" t="0" r="9525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705661" w:rsidRPr="00705661" w:rsidRDefault="00705661" w:rsidP="0070566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Cs/>
                <w:lang w:val="be-BY"/>
              </w:rPr>
            </w:pPr>
            <w:r w:rsidRPr="00705661">
              <w:rPr>
                <w:rFonts w:eastAsia="Times New Roman"/>
                <w:bCs/>
                <w:lang w:val="be-BY"/>
              </w:rPr>
              <w:t>ТАТАРСТАН РЕСПУБЛИКАСЫ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</w:rPr>
            </w:pPr>
            <w:r w:rsidRPr="00705661">
              <w:rPr>
                <w:rFonts w:eastAsia="Times New Roman"/>
                <w:bCs/>
                <w:lang w:val="be-BY"/>
              </w:rPr>
              <w:t>ЗЕЛЕНОДОЛ</w:t>
            </w:r>
            <w:r w:rsidRPr="00705661">
              <w:rPr>
                <w:rFonts w:eastAsia="Times New Roman"/>
                <w:bCs/>
              </w:rPr>
              <w:t>ЬСК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  <w:lang w:val="tt-RU"/>
              </w:rPr>
            </w:pPr>
            <w:r w:rsidRPr="00705661">
              <w:rPr>
                <w:rFonts w:eastAsia="Times New Roman"/>
                <w:bCs/>
              </w:rPr>
              <w:t xml:space="preserve">МУНИЦИПАЛЬ </w:t>
            </w:r>
            <w:r w:rsidRPr="00705661">
              <w:rPr>
                <w:rFonts w:eastAsia="Times New Roman"/>
                <w:bCs/>
                <w:lang w:val="be-BY"/>
              </w:rPr>
              <w:t>РАЙОН</w:t>
            </w:r>
            <w:r w:rsidRPr="00705661">
              <w:rPr>
                <w:rFonts w:eastAsia="Times New Roman"/>
                <w:bCs/>
              </w:rPr>
              <w:t>ЫНЫ</w:t>
            </w:r>
            <w:r w:rsidRPr="00705661">
              <w:rPr>
                <w:rFonts w:eastAsia="Times New Roman"/>
                <w:bCs/>
                <w:lang w:val="tt-RU"/>
              </w:rPr>
              <w:t>Ң</w:t>
            </w:r>
          </w:p>
          <w:p w:rsidR="00705661" w:rsidRPr="00705661" w:rsidRDefault="00705661" w:rsidP="00705661">
            <w:pPr>
              <w:jc w:val="center"/>
              <w:rPr>
                <w:rFonts w:eastAsia="Times New Roman"/>
                <w:bCs/>
                <w:lang w:val="tt-RU"/>
              </w:rPr>
            </w:pPr>
            <w:r w:rsidRPr="00705661">
              <w:rPr>
                <w:rFonts w:eastAsia="Times New Roman"/>
                <w:bCs/>
                <w:lang w:val="tt-RU"/>
              </w:rPr>
              <w:t xml:space="preserve">СВИЯЖСК АВЫЛ </w:t>
            </w:r>
            <w:r w:rsidRPr="00705661">
              <w:rPr>
                <w:rFonts w:eastAsia="Times New Roman"/>
                <w:sz w:val="36"/>
                <w:szCs w:val="36"/>
              </w:rPr>
              <w:t>җ</w:t>
            </w:r>
            <w:r w:rsidRPr="00705661">
              <w:rPr>
                <w:rFonts w:eastAsia="Times New Roman"/>
                <w:bCs/>
                <w:lang w:val="tt-RU"/>
              </w:rPr>
              <w:t>ИРЛЕГЕ</w:t>
            </w: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05661">
              <w:rPr>
                <w:rFonts w:eastAsia="Times New Roman"/>
                <w:b/>
              </w:rPr>
              <w:t>БАШКАРМА КОМИТЕТЫ</w:t>
            </w: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05661" w:rsidRPr="00705661" w:rsidTr="00223FD1">
        <w:trPr>
          <w:cantSplit/>
          <w:trHeight w:val="435"/>
        </w:trPr>
        <w:tc>
          <w:tcPr>
            <w:tcW w:w="9781" w:type="dxa"/>
            <w:gridSpan w:val="3"/>
          </w:tcPr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05661" w:rsidRPr="00705661" w:rsidRDefault="00705661" w:rsidP="007056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05661">
              <w:rPr>
                <w:rFonts w:eastAsia="Times New Roman"/>
                <w:b/>
                <w:sz w:val="20"/>
                <w:szCs w:val="20"/>
              </w:rPr>
              <w:t xml:space="preserve">Тел/факс: (84371) 3-89-00 </w:t>
            </w:r>
            <w:r w:rsidRPr="00705661">
              <w:rPr>
                <w:rFonts w:eastAsia="Times New Roman"/>
                <w:b/>
                <w:sz w:val="20"/>
                <w:szCs w:val="20"/>
                <w:lang w:val="tt-RU"/>
              </w:rPr>
              <w:t>E-mail:</w:t>
            </w:r>
            <w:hyperlink r:id="rId10" w:history="1">
              <w:r w:rsidRPr="00705661">
                <w:rPr>
                  <w:rFonts w:eastAsia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Svg</w:t>
              </w:r>
              <w:r w:rsidRPr="00705661">
                <w:rPr>
                  <w:rFonts w:eastAsia="Times New Roman"/>
                  <w:b/>
                  <w:color w:val="0000FF"/>
                  <w:sz w:val="20"/>
                  <w:szCs w:val="20"/>
                  <w:u w:val="single"/>
                  <w:lang w:val="tt-RU"/>
                </w:rPr>
                <w:t>.Zel@tatar.ru</w:t>
              </w:r>
            </w:hyperlink>
          </w:p>
        </w:tc>
      </w:tr>
    </w:tbl>
    <w:p w:rsidR="00705661" w:rsidRPr="00705661" w:rsidRDefault="00705661" w:rsidP="00705661">
      <w:pPr>
        <w:widowControl/>
        <w:autoSpaceDE/>
        <w:autoSpaceDN/>
        <w:adjustRightInd/>
        <w:rPr>
          <w:rFonts w:eastAsia="Times New Roman"/>
          <w:sz w:val="2"/>
          <w:szCs w:val="2"/>
        </w:rPr>
      </w:pPr>
    </w:p>
    <w:p w:rsidR="00705661" w:rsidRPr="00705661" w:rsidRDefault="00705661" w:rsidP="00705661">
      <w:pPr>
        <w:widowControl/>
        <w:autoSpaceDE/>
        <w:autoSpaceDN/>
        <w:adjustRightInd/>
        <w:rPr>
          <w:rFonts w:ascii="T_Times NR" w:eastAsia="Times New Roman" w:hAnsi="T_Times NR"/>
          <w:color w:val="FF0000"/>
          <w:sz w:val="4"/>
          <w:szCs w:val="4"/>
        </w:rPr>
      </w:pPr>
    </w:p>
    <w:p w:rsidR="00705661" w:rsidRPr="00EB154C" w:rsidRDefault="00705661" w:rsidP="00EB154C">
      <w:pPr>
        <w:widowControl/>
        <w:autoSpaceDE/>
        <w:autoSpaceDN/>
        <w:adjustRightInd/>
        <w:jc w:val="both"/>
        <w:rPr>
          <w:rFonts w:ascii="Calibri" w:eastAsia="Times New Roman" w:hAnsi="Calibri"/>
          <w:b/>
          <w:bCs/>
          <w:sz w:val="6"/>
          <w:szCs w:val="6"/>
        </w:rPr>
      </w:pPr>
      <w:r w:rsidRPr="00705661">
        <w:rPr>
          <w:rFonts w:ascii="Calibri" w:eastAsia="Times New Roman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54C">
        <w:rPr>
          <w:rFonts w:ascii="Calibri" w:eastAsia="Times New Roman" w:hAnsi="Calibri"/>
          <w:b/>
          <w:bCs/>
          <w:color w:val="FF0000"/>
          <w:sz w:val="6"/>
          <w:szCs w:val="6"/>
        </w:rPr>
        <w:t>____________</w:t>
      </w:r>
      <w:r w:rsidRPr="00705661">
        <w:rPr>
          <w:rFonts w:ascii="Calibri" w:eastAsia="Times New Roman" w:hAnsi="Calibri"/>
          <w:b/>
          <w:bCs/>
          <w:color w:val="FF0000"/>
          <w:sz w:val="6"/>
          <w:szCs w:val="6"/>
        </w:rPr>
        <w:t>_____________________</w:t>
      </w:r>
      <w:r w:rsidRPr="00705661">
        <w:rPr>
          <w:rFonts w:ascii="Calibri" w:eastAsia="Times New Roman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54C">
        <w:rPr>
          <w:rFonts w:ascii="Calibri" w:eastAsia="Times New Roman" w:hAnsi="Calibri"/>
          <w:b/>
          <w:bCs/>
          <w:color w:val="00B050"/>
          <w:sz w:val="6"/>
          <w:szCs w:val="6"/>
        </w:rPr>
        <w:t>____________</w:t>
      </w:r>
    </w:p>
    <w:p w:rsidR="00EB154C" w:rsidRDefault="00EB154C" w:rsidP="00EB154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A7F91" w:rsidRPr="00EA7F91" w:rsidRDefault="00EA7F91" w:rsidP="00EA7F9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A7F91">
        <w:rPr>
          <w:rFonts w:eastAsia="Times New Roman"/>
          <w:b/>
          <w:sz w:val="28"/>
          <w:szCs w:val="28"/>
        </w:rPr>
        <w:t>ПОСТАНОВЛЕНИЕ</w:t>
      </w:r>
    </w:p>
    <w:p w:rsidR="00EA7F91" w:rsidRPr="00EA7F91" w:rsidRDefault="00EA7F91" w:rsidP="00EA7F9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A7F91">
        <w:rPr>
          <w:rFonts w:eastAsia="Times New Roman"/>
          <w:b/>
          <w:sz w:val="28"/>
          <w:szCs w:val="28"/>
        </w:rPr>
        <w:t xml:space="preserve">КАРАР </w:t>
      </w:r>
    </w:p>
    <w:p w:rsidR="00374253" w:rsidRPr="00374253" w:rsidRDefault="00374253" w:rsidP="00374253">
      <w:pPr>
        <w:rPr>
          <w:sz w:val="28"/>
          <w:szCs w:val="28"/>
        </w:rPr>
      </w:pPr>
      <w:r w:rsidRPr="00374253">
        <w:rPr>
          <w:sz w:val="28"/>
          <w:szCs w:val="28"/>
        </w:rPr>
        <w:t>«</w:t>
      </w:r>
      <w:r>
        <w:rPr>
          <w:sz w:val="28"/>
          <w:szCs w:val="28"/>
        </w:rPr>
        <w:t>0</w:t>
      </w:r>
      <w:bookmarkStart w:id="0" w:name="_GoBack"/>
      <w:bookmarkEnd w:id="0"/>
      <w:r w:rsidRPr="00374253">
        <w:rPr>
          <w:sz w:val="28"/>
          <w:szCs w:val="28"/>
        </w:rPr>
        <w:t>4» мая 2018г.</w:t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</w:r>
      <w:r w:rsidRPr="00374253">
        <w:rPr>
          <w:sz w:val="28"/>
          <w:szCs w:val="28"/>
        </w:rPr>
        <w:tab/>
        <w:t>№18</w:t>
      </w:r>
    </w:p>
    <w:p w:rsidR="00374253" w:rsidRPr="00374253" w:rsidRDefault="00374253" w:rsidP="00374253">
      <w:pPr>
        <w:rPr>
          <w:sz w:val="28"/>
          <w:szCs w:val="28"/>
        </w:rPr>
      </w:pPr>
    </w:p>
    <w:p w:rsidR="00374253" w:rsidRPr="00374253" w:rsidRDefault="00374253" w:rsidP="00374253">
      <w:pPr>
        <w:ind w:right="4135"/>
        <w:jc w:val="both"/>
        <w:rPr>
          <w:sz w:val="28"/>
          <w:szCs w:val="28"/>
        </w:rPr>
      </w:pPr>
      <w:r w:rsidRPr="00374253">
        <w:rPr>
          <w:sz w:val="28"/>
          <w:szCs w:val="28"/>
        </w:rPr>
        <w:t xml:space="preserve">О назначении публичных слушаний по проекту решения Совета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поселение» Зеленодольского муниципального района Республики Татарстан за 2017 год»</w:t>
      </w:r>
    </w:p>
    <w:p w:rsidR="00374253" w:rsidRPr="00374253" w:rsidRDefault="00374253" w:rsidP="00374253">
      <w:pPr>
        <w:jc w:val="both"/>
        <w:rPr>
          <w:sz w:val="28"/>
          <w:szCs w:val="28"/>
        </w:rPr>
      </w:pPr>
    </w:p>
    <w:p w:rsidR="00374253" w:rsidRPr="00374253" w:rsidRDefault="00374253" w:rsidP="00374253">
      <w:pPr>
        <w:jc w:val="both"/>
        <w:rPr>
          <w:sz w:val="28"/>
          <w:szCs w:val="28"/>
        </w:rPr>
      </w:pPr>
    </w:p>
    <w:p w:rsidR="00374253" w:rsidRPr="00374253" w:rsidRDefault="00374253" w:rsidP="00374253">
      <w:pPr>
        <w:jc w:val="both"/>
        <w:rPr>
          <w:sz w:val="28"/>
          <w:szCs w:val="28"/>
        </w:rPr>
      </w:pP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374253">
        <w:rPr>
          <w:sz w:val="28"/>
          <w:szCs w:val="28"/>
        </w:rPr>
        <w:t xml:space="preserve">В целях соблюдения прав жителей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  на участие в обсуждении отчета об исполнении бюджета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поселения» Зеленодольского муниципального района Республики Татарстан за 2017 год посредством проведения публичных слушаний, в соответствии со статьей 28 Федерального закона от 6 октября 2003 года № 131 -ФЗ «Об общих принципах организации местного самоуправления в Российской Федерации» и статьей 12 Устава</w:t>
      </w:r>
      <w:proofErr w:type="gramEnd"/>
      <w:r w:rsidRPr="00374253">
        <w:rPr>
          <w:sz w:val="28"/>
          <w:szCs w:val="28"/>
        </w:rPr>
        <w:t xml:space="preserve">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поселение» Зеленодольского муниципального района Республики Татарстан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374253">
        <w:rPr>
          <w:b/>
          <w:sz w:val="28"/>
          <w:szCs w:val="28"/>
        </w:rPr>
        <w:t>ПОСТАНОВЛЯЮ: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1.</w:t>
      </w:r>
      <w:r w:rsidRPr="00374253">
        <w:rPr>
          <w:sz w:val="28"/>
          <w:szCs w:val="28"/>
        </w:rPr>
        <w:tab/>
        <w:t xml:space="preserve">Назначить проведение публичных слушаний по проекту решения Совета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  «Об утверждении отчета об исполнении бюджета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поселение» Зеленодольского муниципального района Республики Татарстан за 2017 год».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2.</w:t>
      </w:r>
      <w:r w:rsidRPr="00374253">
        <w:rPr>
          <w:sz w:val="28"/>
          <w:szCs w:val="28"/>
        </w:rPr>
        <w:tab/>
        <w:t>Определить: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2.1.</w:t>
      </w:r>
      <w:r w:rsidRPr="00374253">
        <w:rPr>
          <w:sz w:val="28"/>
          <w:szCs w:val="28"/>
        </w:rPr>
        <w:tab/>
        <w:t>дату и время проведения – 14 мая 2018 года в 15.00 час</w:t>
      </w:r>
      <w:proofErr w:type="gramStart"/>
      <w:r w:rsidRPr="00374253">
        <w:rPr>
          <w:sz w:val="28"/>
          <w:szCs w:val="28"/>
        </w:rPr>
        <w:t>.;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End"/>
      <w:r w:rsidRPr="00374253">
        <w:rPr>
          <w:sz w:val="28"/>
          <w:szCs w:val="28"/>
        </w:rPr>
        <w:t>2.2.</w:t>
      </w:r>
      <w:r w:rsidRPr="00374253">
        <w:rPr>
          <w:sz w:val="28"/>
          <w:szCs w:val="28"/>
        </w:rPr>
        <w:tab/>
        <w:t>срок проведения 1 день;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2.3.</w:t>
      </w:r>
      <w:r w:rsidRPr="00374253">
        <w:rPr>
          <w:sz w:val="28"/>
          <w:szCs w:val="28"/>
        </w:rPr>
        <w:tab/>
        <w:t xml:space="preserve">место проведения </w:t>
      </w:r>
      <w:proofErr w:type="gramStart"/>
      <w:r w:rsidRPr="00374253">
        <w:rPr>
          <w:sz w:val="28"/>
          <w:szCs w:val="28"/>
        </w:rPr>
        <w:t>–у</w:t>
      </w:r>
      <w:proofErr w:type="gramEnd"/>
      <w:r w:rsidRPr="00374253">
        <w:rPr>
          <w:sz w:val="28"/>
          <w:szCs w:val="28"/>
        </w:rPr>
        <w:t>л. Успенская д.11, 1 этаж;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lastRenderedPageBreak/>
        <w:t>2.4.</w:t>
      </w:r>
      <w:r w:rsidRPr="00374253">
        <w:rPr>
          <w:sz w:val="28"/>
          <w:szCs w:val="28"/>
        </w:rPr>
        <w:tab/>
        <w:t xml:space="preserve">адрес, по которому могут представляться предложения и замечания по обсуждаемому вопросу, заявки с правом выступления — Исполнительный комитет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поселения.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3.</w:t>
      </w:r>
      <w:r w:rsidRPr="00374253">
        <w:rPr>
          <w:sz w:val="28"/>
          <w:szCs w:val="28"/>
        </w:rPr>
        <w:tab/>
        <w:t xml:space="preserve">Инициатором проведения публичных слушаний является Глава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поселения.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4.</w:t>
      </w:r>
      <w:r w:rsidRPr="00374253">
        <w:rPr>
          <w:sz w:val="28"/>
          <w:szCs w:val="28"/>
        </w:rPr>
        <w:tab/>
        <w:t xml:space="preserve">Исполнительному комитету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поселения: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4.1.</w:t>
      </w:r>
      <w:r w:rsidRPr="00374253">
        <w:rPr>
          <w:sz w:val="28"/>
          <w:szCs w:val="28"/>
        </w:rPr>
        <w:tab/>
        <w:t xml:space="preserve">подготовить и провести публичные слушания по проекту решения Совета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поселение» Зеленодольского муниципального района Республики Татарстан за 2017 год» в соответствии с действующим законодательством и в установленные данным постановлением сроки;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4.2.</w:t>
      </w:r>
      <w:r w:rsidRPr="00374253">
        <w:rPr>
          <w:sz w:val="28"/>
          <w:szCs w:val="28"/>
        </w:rPr>
        <w:tab/>
        <w:t>опубликовать результаты публичных слушаний до 21 мая                 2018 года;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374253">
        <w:rPr>
          <w:sz w:val="28"/>
          <w:szCs w:val="28"/>
        </w:rPr>
        <w:t>4.3.</w:t>
      </w:r>
      <w:r w:rsidRPr="00374253">
        <w:rPr>
          <w:sz w:val="28"/>
          <w:szCs w:val="28"/>
        </w:rPr>
        <w:tab/>
        <w:t xml:space="preserve">внести в Совет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 рекомендации публичных слушаний, протокол публичных слушаний, а также заключение по результатам публичных слушаний одновременно с доработанным по результатам публичных слушаний отчетом об исполнении бюджета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поселение» Зеленодольского муниципального района Республики Татарстан за 2017 год.</w:t>
      </w:r>
      <w:proofErr w:type="gramEnd"/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>5.</w:t>
      </w:r>
      <w:r w:rsidRPr="00374253">
        <w:rPr>
          <w:sz w:val="28"/>
          <w:szCs w:val="28"/>
        </w:rPr>
        <w:tab/>
        <w:t xml:space="preserve">В срок до 11 мая 2018 года </w:t>
      </w:r>
      <w:proofErr w:type="gramStart"/>
      <w:r w:rsidRPr="00374253">
        <w:rPr>
          <w:sz w:val="28"/>
          <w:szCs w:val="28"/>
        </w:rPr>
        <w:t>разместить</w:t>
      </w:r>
      <w:proofErr w:type="gramEnd"/>
      <w:r w:rsidRPr="00374253">
        <w:rPr>
          <w:sz w:val="28"/>
          <w:szCs w:val="28"/>
        </w:rPr>
        <w:t xml:space="preserve"> настоящее постановление и проект решения Совета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поселение» Зеленодольского муниципального района Республики Татарстан за 2017 год» на информационных стендах </w:t>
      </w:r>
      <w:proofErr w:type="spellStart"/>
      <w:r w:rsidRPr="00374253">
        <w:rPr>
          <w:sz w:val="28"/>
          <w:szCs w:val="28"/>
        </w:rPr>
        <w:t>Свияжского</w:t>
      </w:r>
      <w:proofErr w:type="spellEnd"/>
      <w:r w:rsidRPr="00374253">
        <w:rPr>
          <w:sz w:val="28"/>
          <w:szCs w:val="28"/>
        </w:rPr>
        <w:t xml:space="preserve"> сельского поселения.</w:t>
      </w:r>
    </w:p>
    <w:p w:rsidR="00374253" w:rsidRPr="00374253" w:rsidRDefault="00374253" w:rsidP="00374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4253">
        <w:rPr>
          <w:sz w:val="28"/>
          <w:szCs w:val="28"/>
        </w:rPr>
        <w:t xml:space="preserve">6. </w:t>
      </w:r>
      <w:proofErr w:type="gramStart"/>
      <w:r w:rsidRPr="00374253">
        <w:rPr>
          <w:sz w:val="28"/>
          <w:szCs w:val="28"/>
        </w:rPr>
        <w:t>Контроль за</w:t>
      </w:r>
      <w:proofErr w:type="gramEnd"/>
      <w:r w:rsidRPr="003742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294C" w:rsidRPr="00374253" w:rsidRDefault="0079294C" w:rsidP="0079294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E1A5F" w:rsidRPr="00374253" w:rsidRDefault="009E1A5F" w:rsidP="0079294C">
      <w:pPr>
        <w:tabs>
          <w:tab w:val="left" w:pos="0"/>
        </w:tabs>
        <w:contextualSpacing/>
        <w:jc w:val="both"/>
        <w:outlineLvl w:val="0"/>
        <w:rPr>
          <w:rFonts w:eastAsia="Times New Roman"/>
          <w:sz w:val="28"/>
          <w:szCs w:val="28"/>
          <w:lang w:val="be-BY"/>
        </w:rPr>
      </w:pPr>
    </w:p>
    <w:p w:rsidR="009E1A5F" w:rsidRPr="00374253" w:rsidRDefault="009E1A5F" w:rsidP="0079294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9E1A5F" w:rsidRPr="00374253" w:rsidRDefault="009E1A5F" w:rsidP="009E1A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4253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374253">
        <w:rPr>
          <w:rFonts w:eastAsia="Calibri"/>
          <w:sz w:val="28"/>
          <w:szCs w:val="28"/>
          <w:lang w:eastAsia="en-US"/>
        </w:rPr>
        <w:t>Свияжского</w:t>
      </w:r>
      <w:proofErr w:type="spellEnd"/>
      <w:r w:rsidRPr="00374253">
        <w:rPr>
          <w:rFonts w:eastAsia="Calibri"/>
          <w:sz w:val="28"/>
          <w:szCs w:val="28"/>
          <w:lang w:eastAsia="en-US"/>
        </w:rPr>
        <w:t xml:space="preserve"> </w:t>
      </w:r>
    </w:p>
    <w:p w:rsidR="002A09E9" w:rsidRPr="00374253" w:rsidRDefault="009E1A5F" w:rsidP="005852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7425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r w:rsidRPr="00374253">
        <w:rPr>
          <w:rFonts w:eastAsia="Calibri"/>
          <w:sz w:val="28"/>
          <w:szCs w:val="28"/>
          <w:lang w:eastAsia="en-US"/>
        </w:rPr>
        <w:tab/>
      </w:r>
      <w:proofErr w:type="spellStart"/>
      <w:r w:rsidRPr="00374253">
        <w:rPr>
          <w:rFonts w:eastAsia="Calibri"/>
          <w:sz w:val="28"/>
          <w:szCs w:val="28"/>
          <w:lang w:eastAsia="en-US"/>
        </w:rPr>
        <w:t>В.В.Четверкин</w:t>
      </w:r>
      <w:proofErr w:type="spellEnd"/>
    </w:p>
    <w:sectPr w:rsidR="002A09E9" w:rsidRPr="00374253" w:rsidSect="00EB154C">
      <w:type w:val="continuous"/>
      <w:pgSz w:w="11905" w:h="16837"/>
      <w:pgMar w:top="918" w:right="897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35" w:rsidRDefault="00805035">
      <w:r>
        <w:separator/>
      </w:r>
    </w:p>
  </w:endnote>
  <w:endnote w:type="continuationSeparator" w:id="0">
    <w:p w:rsidR="00805035" w:rsidRDefault="0080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35" w:rsidRDefault="00805035">
      <w:r>
        <w:separator/>
      </w:r>
    </w:p>
  </w:footnote>
  <w:footnote w:type="continuationSeparator" w:id="0">
    <w:p w:rsidR="00805035" w:rsidRDefault="0080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6E3"/>
    <w:multiLevelType w:val="hybridMultilevel"/>
    <w:tmpl w:val="A476B978"/>
    <w:lvl w:ilvl="0" w:tplc="6FEAF482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1BCC0CC8"/>
    <w:multiLevelType w:val="hybridMultilevel"/>
    <w:tmpl w:val="10CCE150"/>
    <w:lvl w:ilvl="0" w:tplc="4B0EE8F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42DE3"/>
    <w:multiLevelType w:val="hybridMultilevel"/>
    <w:tmpl w:val="D084E304"/>
    <w:lvl w:ilvl="0" w:tplc="3BCE9AC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61"/>
    <w:rsid w:val="00043C71"/>
    <w:rsid w:val="00144C57"/>
    <w:rsid w:val="00150E05"/>
    <w:rsid w:val="00152C21"/>
    <w:rsid w:val="00165185"/>
    <w:rsid w:val="00171F4C"/>
    <w:rsid w:val="001B4266"/>
    <w:rsid w:val="0023717B"/>
    <w:rsid w:val="002462F6"/>
    <w:rsid w:val="00271172"/>
    <w:rsid w:val="00275986"/>
    <w:rsid w:val="00286229"/>
    <w:rsid w:val="002A09E9"/>
    <w:rsid w:val="002C7278"/>
    <w:rsid w:val="002D0D65"/>
    <w:rsid w:val="002F7F6F"/>
    <w:rsid w:val="00314293"/>
    <w:rsid w:val="003331B1"/>
    <w:rsid w:val="003451D8"/>
    <w:rsid w:val="00347C2E"/>
    <w:rsid w:val="00374253"/>
    <w:rsid w:val="003759A8"/>
    <w:rsid w:val="003C3FAC"/>
    <w:rsid w:val="00444DC0"/>
    <w:rsid w:val="004602B0"/>
    <w:rsid w:val="004A2BC7"/>
    <w:rsid w:val="004E0EB3"/>
    <w:rsid w:val="004F75AE"/>
    <w:rsid w:val="005169C6"/>
    <w:rsid w:val="00525BD7"/>
    <w:rsid w:val="00555BC6"/>
    <w:rsid w:val="0058472D"/>
    <w:rsid w:val="005852C2"/>
    <w:rsid w:val="005A7D96"/>
    <w:rsid w:val="005B06D1"/>
    <w:rsid w:val="006471D9"/>
    <w:rsid w:val="00671F9A"/>
    <w:rsid w:val="00705661"/>
    <w:rsid w:val="00733B06"/>
    <w:rsid w:val="00761D9B"/>
    <w:rsid w:val="00791640"/>
    <w:rsid w:val="0079294C"/>
    <w:rsid w:val="007E735B"/>
    <w:rsid w:val="00805035"/>
    <w:rsid w:val="008427C5"/>
    <w:rsid w:val="00847D1A"/>
    <w:rsid w:val="0086655D"/>
    <w:rsid w:val="008F0796"/>
    <w:rsid w:val="009A201C"/>
    <w:rsid w:val="009C50E8"/>
    <w:rsid w:val="009E01E6"/>
    <w:rsid w:val="009E1A5F"/>
    <w:rsid w:val="00A00F53"/>
    <w:rsid w:val="00A21868"/>
    <w:rsid w:val="00A60132"/>
    <w:rsid w:val="00A90F2C"/>
    <w:rsid w:val="00A91AF8"/>
    <w:rsid w:val="00AF58FE"/>
    <w:rsid w:val="00B43BFD"/>
    <w:rsid w:val="00B616A6"/>
    <w:rsid w:val="00BC6642"/>
    <w:rsid w:val="00C247E1"/>
    <w:rsid w:val="00C4625F"/>
    <w:rsid w:val="00C53FC6"/>
    <w:rsid w:val="00C66C01"/>
    <w:rsid w:val="00C745A5"/>
    <w:rsid w:val="00D3159A"/>
    <w:rsid w:val="00D4465D"/>
    <w:rsid w:val="00D67602"/>
    <w:rsid w:val="00D770D3"/>
    <w:rsid w:val="00DA38F3"/>
    <w:rsid w:val="00E2498E"/>
    <w:rsid w:val="00E372D4"/>
    <w:rsid w:val="00E446F7"/>
    <w:rsid w:val="00E769A8"/>
    <w:rsid w:val="00E94404"/>
    <w:rsid w:val="00EA7F91"/>
    <w:rsid w:val="00EB154C"/>
    <w:rsid w:val="00EE498C"/>
    <w:rsid w:val="00F50F83"/>
    <w:rsid w:val="00F51F78"/>
    <w:rsid w:val="00F71C70"/>
    <w:rsid w:val="00F76D48"/>
    <w:rsid w:val="00F771DD"/>
    <w:rsid w:val="00F92234"/>
    <w:rsid w:val="00F9251E"/>
    <w:rsid w:val="00FE2301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9" w:lineRule="exact"/>
      <w:jc w:val="both"/>
    </w:pPr>
  </w:style>
  <w:style w:type="paragraph" w:customStyle="1" w:styleId="Style5">
    <w:name w:val="Style5"/>
    <w:basedOn w:val="a"/>
    <w:uiPriority w:val="99"/>
    <w:pPr>
      <w:spacing w:line="318" w:lineRule="exact"/>
      <w:ind w:hanging="60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18" w:lineRule="exact"/>
      <w:jc w:val="both"/>
    </w:pPr>
  </w:style>
  <w:style w:type="paragraph" w:customStyle="1" w:styleId="Style11">
    <w:name w:val="Style11"/>
    <w:basedOn w:val="a"/>
    <w:uiPriority w:val="99"/>
    <w:pPr>
      <w:spacing w:line="321" w:lineRule="exact"/>
      <w:ind w:firstLine="564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49"/>
    </w:pPr>
  </w:style>
  <w:style w:type="paragraph" w:customStyle="1" w:styleId="Style13">
    <w:name w:val="Style13"/>
    <w:basedOn w:val="a"/>
    <w:uiPriority w:val="99"/>
    <w:pPr>
      <w:spacing w:line="275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9" w:lineRule="exact"/>
      <w:jc w:val="center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A0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8F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8FE"/>
    <w:rPr>
      <w:rFonts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0F2C"/>
    <w:rPr>
      <w:color w:val="0000FF"/>
      <w:u w:val="single"/>
    </w:rPr>
  </w:style>
  <w:style w:type="paragraph" w:styleId="aa">
    <w:name w:val="Normal (Web)"/>
    <w:basedOn w:val="a"/>
    <w:uiPriority w:val="99"/>
    <w:rsid w:val="00F71C70"/>
    <w:pPr>
      <w:widowControl/>
      <w:autoSpaceDE/>
      <w:autoSpaceDN/>
      <w:adjustRightInd/>
      <w:spacing w:after="120"/>
    </w:pPr>
    <w:rPr>
      <w:rFonts w:eastAsia="Times New Roman"/>
    </w:rPr>
  </w:style>
  <w:style w:type="character" w:styleId="ab">
    <w:name w:val="Strong"/>
    <w:basedOn w:val="a0"/>
    <w:uiPriority w:val="99"/>
    <w:qFormat/>
    <w:rsid w:val="00F71C70"/>
    <w:rPr>
      <w:rFonts w:cs="Times New Roman"/>
      <w:b/>
      <w:bCs/>
    </w:rPr>
  </w:style>
  <w:style w:type="table" w:styleId="ac">
    <w:name w:val="Table Grid"/>
    <w:basedOn w:val="a1"/>
    <w:uiPriority w:val="59"/>
    <w:rsid w:val="00F71C70"/>
    <w:pPr>
      <w:spacing w:after="0" w:line="240" w:lineRule="auto"/>
    </w:pPr>
    <w:rPr>
      <w:rFonts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9" w:lineRule="exact"/>
      <w:jc w:val="both"/>
    </w:pPr>
  </w:style>
  <w:style w:type="paragraph" w:customStyle="1" w:styleId="Style5">
    <w:name w:val="Style5"/>
    <w:basedOn w:val="a"/>
    <w:uiPriority w:val="99"/>
    <w:pPr>
      <w:spacing w:line="318" w:lineRule="exact"/>
      <w:ind w:hanging="60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18" w:lineRule="exact"/>
      <w:jc w:val="both"/>
    </w:pPr>
  </w:style>
  <w:style w:type="paragraph" w:customStyle="1" w:styleId="Style11">
    <w:name w:val="Style11"/>
    <w:basedOn w:val="a"/>
    <w:uiPriority w:val="99"/>
    <w:pPr>
      <w:spacing w:line="321" w:lineRule="exact"/>
      <w:ind w:firstLine="564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49"/>
    </w:pPr>
  </w:style>
  <w:style w:type="paragraph" w:customStyle="1" w:styleId="Style13">
    <w:name w:val="Style13"/>
    <w:basedOn w:val="a"/>
    <w:uiPriority w:val="99"/>
    <w:pPr>
      <w:spacing w:line="275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9" w:lineRule="exact"/>
      <w:jc w:val="center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A0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8F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5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8FE"/>
    <w:rPr>
      <w:rFonts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0F2C"/>
    <w:rPr>
      <w:color w:val="0000FF"/>
      <w:u w:val="single"/>
    </w:rPr>
  </w:style>
  <w:style w:type="paragraph" w:styleId="aa">
    <w:name w:val="Normal (Web)"/>
    <w:basedOn w:val="a"/>
    <w:uiPriority w:val="99"/>
    <w:rsid w:val="00F71C70"/>
    <w:pPr>
      <w:widowControl/>
      <w:autoSpaceDE/>
      <w:autoSpaceDN/>
      <w:adjustRightInd/>
      <w:spacing w:after="120"/>
    </w:pPr>
    <w:rPr>
      <w:rFonts w:eastAsia="Times New Roman"/>
    </w:rPr>
  </w:style>
  <w:style w:type="character" w:styleId="ab">
    <w:name w:val="Strong"/>
    <w:basedOn w:val="a0"/>
    <w:uiPriority w:val="99"/>
    <w:qFormat/>
    <w:rsid w:val="00F71C70"/>
    <w:rPr>
      <w:rFonts w:cs="Times New Roman"/>
      <w:b/>
      <w:bCs/>
    </w:rPr>
  </w:style>
  <w:style w:type="table" w:styleId="ac">
    <w:name w:val="Table Grid"/>
    <w:basedOn w:val="a1"/>
    <w:uiPriority w:val="59"/>
    <w:rsid w:val="00F71C70"/>
    <w:pPr>
      <w:spacing w:after="0" w:line="240" w:lineRule="auto"/>
    </w:pPr>
    <w:rPr>
      <w:rFonts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vg.Zel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14B4-7896-4ADB-A703-4F8167B7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Пользователь Windows</cp:lastModifiedBy>
  <cp:revision>2</cp:revision>
  <cp:lastPrinted>2018-02-15T09:11:00Z</cp:lastPrinted>
  <dcterms:created xsi:type="dcterms:W3CDTF">2018-06-26T08:24:00Z</dcterms:created>
  <dcterms:modified xsi:type="dcterms:W3CDTF">2018-06-26T08:24:00Z</dcterms:modified>
</cp:coreProperties>
</file>